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 Two" w:cs="Shadows Into Light Two" w:eastAsia="Shadows Into Light Two" w:hAnsi="Shadows Into Light Two"/>
          <w:rtl w:val="0"/>
        </w:rPr>
        <w:t xml:space="preserve">Antebellum Test Guide</w:t>
        <w:tab/>
        <w:tab/>
        <w:tab/>
        <w:tab/>
        <w:tab/>
        <w:tab/>
        <w:tab/>
        <w:t xml:space="preserve">Name:________________________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u w:val="single"/>
          <w:rtl w:val="0"/>
        </w:rPr>
        <w:t xml:space="preserve">Section 8-4.1: Slavery in 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Antebellum: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Overseer/Driver: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Essential Questions::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1. Describe the social classes of Antebellum SC.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2. Describe the economy of SC in the Antebellum period.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3. Describe slavery/slave life in the Antebellum period.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4. How did the South try to justify slavery?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5. Why did the South rely on slavery so much more than the North?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u w:val="single"/>
          <w:rtl w:val="0"/>
        </w:rPr>
        <w:t xml:space="preserve">Section 8-4.2: Sectionalism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Sectionalism::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Abolitionist Movement: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Grimke Sisters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Manifest Destiny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Denmark Vesey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Nat Turner: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Essential Questions::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1. Compare the 3 regions of the U.S.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2. How did Sectionalism impact the U.S.?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u w:val="single"/>
          <w:rtl w:val="0"/>
        </w:rPr>
        <w:t xml:space="preserve">Section 8-4.3: Road to Secession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Missouri Compromise::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Nullification Crisis: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Secession: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Compromise of 1850: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Fugitive Slave Act: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Kansas-Nebraska Act: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popular sovereignty: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‘Bleeding Kansas’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Dred Scott case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John Brown’s Raid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Election of 1860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Essential Questions::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1. How did the outcome of the Election of 1860 impact the U.S.?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2. How did manifest destiny &amp; the argument over the expansion of slavery play out?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u w:val="single"/>
          <w:rtl w:val="0"/>
        </w:rPr>
        <w:t xml:space="preserve">Section 8-4.4: Perspectives on Secession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8775"/>
        <w:tblGridChange w:id="0">
          <w:tblGrid>
            <w:gridCol w:w="2025"/>
            <w:gridCol w:w="87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Unionists: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Cooperationists: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Secessionists/Fire Eaters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rtl w:val="0"/>
              </w:rPr>
              <w:t xml:space="preserve">Ordinance of Secession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 Tw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Two-regular.ttf"/></Relationships>
</file>